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lang w:eastAsia="zh-CN"/>
        </w:rPr>
        <w:t>网络安全服务</w:t>
      </w:r>
      <w:bookmarkStart w:id="0" w:name="_GoBack"/>
      <w:bookmarkEnd w:id="0"/>
      <w:r>
        <w:rPr>
          <w:rFonts w:hint="eastAsia" w:ascii="宋体" w:hAnsi="宋体" w:cs="宋体"/>
          <w:b/>
          <w:sz w:val="32"/>
          <w:szCs w:val="32"/>
        </w:rPr>
        <w:t>内容</w:t>
      </w:r>
    </w:p>
    <w:tbl>
      <w:tblPr>
        <w:tblStyle w:val="4"/>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7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341" w:type="dxa"/>
            <w:shd w:val="clear" w:color="auto" w:fill="D7D7D7"/>
            <w:vAlign w:val="center"/>
          </w:tcPr>
          <w:p>
            <w:pPr>
              <w:jc w:val="center"/>
              <w:rPr>
                <w:rFonts w:cs="宋体" w:asciiTheme="minorHAnsi" w:hAnsiTheme="minorHAnsi"/>
                <w:sz w:val="21"/>
                <w:szCs w:val="21"/>
              </w:rPr>
            </w:pPr>
            <w:r>
              <w:rPr>
                <w:rFonts w:cs="宋体" w:asciiTheme="minorHAnsi" w:hAnsiTheme="minorHAnsi"/>
                <w:sz w:val="21"/>
                <w:szCs w:val="21"/>
              </w:rPr>
              <w:t>服务项</w:t>
            </w:r>
          </w:p>
        </w:tc>
        <w:tc>
          <w:tcPr>
            <w:tcW w:w="7802" w:type="dxa"/>
            <w:shd w:val="clear" w:color="auto" w:fill="D7D7D7"/>
            <w:vAlign w:val="center"/>
          </w:tcPr>
          <w:p>
            <w:pPr>
              <w:jc w:val="center"/>
              <w:rPr>
                <w:rFonts w:cs="宋体" w:asciiTheme="minorHAnsi" w:hAnsiTheme="minorHAnsi"/>
                <w:sz w:val="21"/>
                <w:szCs w:val="21"/>
              </w:rPr>
            </w:pPr>
            <w:r>
              <w:rPr>
                <w:rFonts w:cs="宋体" w:asciiTheme="minorHAnsi" w:hAnsiTheme="minorHAnsi"/>
                <w:sz w:val="21"/>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jc w:val="center"/>
        </w:trPr>
        <w:tc>
          <w:tcPr>
            <w:tcW w:w="1341" w:type="dxa"/>
            <w:vMerge w:val="restart"/>
            <w:vAlign w:val="center"/>
          </w:tcPr>
          <w:p>
            <w:pPr>
              <w:rPr>
                <w:rFonts w:cs="宋体" w:asciiTheme="minorHAnsi" w:hAnsiTheme="minorHAnsi"/>
                <w:b/>
                <w:sz w:val="21"/>
                <w:szCs w:val="21"/>
              </w:rPr>
            </w:pPr>
            <w:r>
              <w:rPr>
                <w:rFonts w:cs="宋体" w:asciiTheme="minorHAnsi" w:hAnsiTheme="minorHAnsi"/>
                <w:b/>
                <w:sz w:val="21"/>
                <w:szCs w:val="21"/>
              </w:rPr>
              <w:t>1、网络安全规划与咨询服务</w:t>
            </w:r>
          </w:p>
        </w:tc>
        <w:tc>
          <w:tcPr>
            <w:tcW w:w="7802" w:type="dxa"/>
            <w:vAlign w:val="center"/>
          </w:tcPr>
          <w:p>
            <w:pPr>
              <w:ind w:firstLine="420" w:firstLineChars="200"/>
              <w:rPr>
                <w:rFonts w:cs="宋体" w:asciiTheme="minorHAnsi" w:hAnsiTheme="minorHAnsi"/>
                <w:sz w:val="21"/>
                <w:szCs w:val="21"/>
              </w:rPr>
            </w:pPr>
            <w:r>
              <w:rPr>
                <w:rFonts w:cs="宋体" w:asciiTheme="minorHAnsi" w:hAnsiTheme="minorHAnsi"/>
                <w:sz w:val="21"/>
                <w:szCs w:val="21"/>
              </w:rPr>
              <w:t>通过对徐州口腔医院安全情况调研、针对徐州口腔医院网络安全管理现状和技术防护现状，分析网络安全防护的问题和薄弱点，按照《网络安全法》、国家、部委、省级单位关于网络安全的最新要求，结合网络安全态势的变化趋势，配合本院完成年度网络安全管理制度、网络安全加固建设方案的编制和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341" w:type="dxa"/>
            <w:vMerge w:val="continue"/>
            <w:vAlign w:val="center"/>
          </w:tcPr>
          <w:p>
            <w:pPr>
              <w:ind w:firstLine="422" w:firstLineChars="200"/>
              <w:rPr>
                <w:rFonts w:cs="宋体" w:asciiTheme="minorHAnsi" w:hAnsiTheme="minorHAnsi"/>
                <w:b/>
                <w:sz w:val="21"/>
                <w:szCs w:val="21"/>
              </w:rPr>
            </w:pPr>
          </w:p>
        </w:tc>
        <w:tc>
          <w:tcPr>
            <w:tcW w:w="7802" w:type="dxa"/>
            <w:vAlign w:val="center"/>
          </w:tcPr>
          <w:p>
            <w:pPr>
              <w:ind w:firstLine="420" w:firstLineChars="200"/>
              <w:rPr>
                <w:rFonts w:cs="宋体" w:asciiTheme="minorHAnsi" w:hAnsiTheme="minorHAnsi"/>
                <w:sz w:val="21"/>
                <w:szCs w:val="21"/>
              </w:rPr>
            </w:pPr>
            <w:r>
              <w:rPr>
                <w:rFonts w:cs="宋体" w:asciiTheme="minorHAnsi" w:hAnsiTheme="minorHAnsi"/>
                <w:sz w:val="21"/>
                <w:szCs w:val="21"/>
              </w:rPr>
              <w:t>服务频次：周期性服务，每服务年度提供1次方案规划咨询服务、不限次数与网络安全年度规划相关的技术、管理、政策咨询以及修订服务；</w:t>
            </w:r>
          </w:p>
          <w:p>
            <w:pPr>
              <w:ind w:firstLine="420" w:firstLineChars="200"/>
              <w:rPr>
                <w:rFonts w:cs="宋体" w:asciiTheme="minorHAnsi" w:hAnsiTheme="minorHAnsi"/>
                <w:sz w:val="21"/>
                <w:szCs w:val="21"/>
              </w:rPr>
            </w:pPr>
            <w:r>
              <w:rPr>
                <w:rFonts w:cs="宋体" w:asciiTheme="minorHAnsi" w:hAnsiTheme="minorHAnsi"/>
                <w:sz w:val="21"/>
                <w:szCs w:val="21"/>
              </w:rPr>
              <w:t>成果交付：《徐州口腔医院年度网络安全加固建设方案》;在我院指定时间内交付相关方案及服务报告。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jc w:val="center"/>
        </w:trPr>
        <w:tc>
          <w:tcPr>
            <w:tcW w:w="1341" w:type="dxa"/>
            <w:vMerge w:val="restart"/>
            <w:vAlign w:val="center"/>
          </w:tcPr>
          <w:p>
            <w:pPr>
              <w:rPr>
                <w:rFonts w:cs="宋体" w:asciiTheme="minorHAnsi" w:hAnsiTheme="minorHAnsi"/>
                <w:b/>
                <w:sz w:val="21"/>
                <w:szCs w:val="21"/>
              </w:rPr>
            </w:pPr>
            <w:r>
              <w:rPr>
                <w:rFonts w:hint="eastAsia" w:cs="宋体" w:asciiTheme="minorHAnsi" w:hAnsiTheme="minorHAnsi"/>
                <w:b/>
                <w:sz w:val="21"/>
                <w:szCs w:val="21"/>
              </w:rPr>
              <w:t>2</w:t>
            </w:r>
            <w:r>
              <w:rPr>
                <w:rFonts w:cs="宋体" w:asciiTheme="minorHAnsi" w:hAnsiTheme="minorHAnsi"/>
                <w:b/>
                <w:sz w:val="21"/>
                <w:szCs w:val="21"/>
              </w:rPr>
              <w:t>、漏洞扫描服务</w:t>
            </w:r>
          </w:p>
        </w:tc>
        <w:tc>
          <w:tcPr>
            <w:tcW w:w="7802" w:type="dxa"/>
            <w:vAlign w:val="center"/>
          </w:tcPr>
          <w:p>
            <w:pPr>
              <w:ind w:firstLine="420" w:firstLineChars="200"/>
              <w:rPr>
                <w:rFonts w:cs="宋体" w:asciiTheme="minorHAnsi" w:hAnsiTheme="minorHAnsi"/>
                <w:sz w:val="21"/>
                <w:szCs w:val="21"/>
              </w:rPr>
            </w:pPr>
            <w:r>
              <w:rPr>
                <w:rFonts w:cs="宋体" w:asciiTheme="minorHAnsi" w:hAnsiTheme="minorHAnsi"/>
                <w:sz w:val="21"/>
                <w:szCs w:val="21"/>
              </w:rPr>
              <w:t>漏洞扫描：利用专业漏洞扫描工具对服务范围内各种软硬件设备进行网络层、系统层、数据库、应用层的全面扫描与分析，对发现的操作系统漏洞、数据库漏洞、弱口令、信息泄露及配置不当等脆弱性问题进行人工验证，并提供修复建议。</w:t>
            </w:r>
          </w:p>
          <w:p>
            <w:pPr>
              <w:ind w:firstLine="420" w:firstLineChars="200"/>
              <w:rPr>
                <w:rFonts w:cs="宋体" w:asciiTheme="minorHAnsi" w:hAnsi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341" w:type="dxa"/>
            <w:vMerge w:val="continue"/>
            <w:vAlign w:val="center"/>
          </w:tcPr>
          <w:p>
            <w:pPr>
              <w:ind w:firstLine="422" w:firstLineChars="200"/>
              <w:rPr>
                <w:rFonts w:cs="宋体" w:asciiTheme="minorHAnsi" w:hAnsiTheme="minorHAnsi"/>
                <w:b/>
                <w:sz w:val="21"/>
                <w:szCs w:val="21"/>
              </w:rPr>
            </w:pPr>
          </w:p>
        </w:tc>
        <w:tc>
          <w:tcPr>
            <w:tcW w:w="7802" w:type="dxa"/>
            <w:vAlign w:val="center"/>
          </w:tcPr>
          <w:p>
            <w:pPr>
              <w:ind w:firstLine="420" w:firstLineChars="200"/>
              <w:rPr>
                <w:rFonts w:cs="宋体" w:asciiTheme="minorHAnsi" w:hAnsiTheme="minorHAnsi"/>
                <w:sz w:val="21"/>
                <w:szCs w:val="21"/>
              </w:rPr>
            </w:pPr>
            <w:r>
              <w:rPr>
                <w:rFonts w:cs="宋体" w:asciiTheme="minorHAnsi" w:hAnsiTheme="minorHAnsi"/>
                <w:sz w:val="21"/>
                <w:szCs w:val="21"/>
              </w:rPr>
              <w:t>漏洞检测报告应具有易懂的漏洞描述和详尽的安全修补方案建议，并提供相关的技术站点以供管理员参考，报告应可对安全的威胁程度分级，并能够形成风险趋势分析报表和主机间风险对比分析，对于重要漏洞，需提供详细的验证用例，且漏洞验证需要提供完整的http请求头，并要求提供详细的测试用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341" w:type="dxa"/>
            <w:vMerge w:val="continue"/>
            <w:vAlign w:val="center"/>
          </w:tcPr>
          <w:p>
            <w:pPr>
              <w:ind w:firstLine="422" w:firstLineChars="200"/>
              <w:rPr>
                <w:rFonts w:cs="宋体" w:asciiTheme="minorHAnsi" w:hAnsiTheme="minorHAnsi"/>
                <w:b/>
                <w:sz w:val="21"/>
                <w:szCs w:val="21"/>
              </w:rPr>
            </w:pPr>
          </w:p>
        </w:tc>
        <w:tc>
          <w:tcPr>
            <w:tcW w:w="7802" w:type="dxa"/>
            <w:vAlign w:val="center"/>
          </w:tcPr>
          <w:p>
            <w:pPr>
              <w:ind w:firstLine="420" w:firstLineChars="200"/>
              <w:rPr>
                <w:rFonts w:cs="宋体" w:asciiTheme="minorHAnsi" w:hAnsiTheme="minorHAnsi"/>
                <w:sz w:val="21"/>
                <w:szCs w:val="21"/>
              </w:rPr>
            </w:pPr>
            <w:r>
              <w:rPr>
                <w:rFonts w:cs="宋体" w:asciiTheme="minorHAnsi" w:hAnsiTheme="minorHAnsi"/>
                <w:sz w:val="21"/>
                <w:szCs w:val="21"/>
              </w:rPr>
              <w:t>★</w:t>
            </w:r>
            <w:r>
              <w:rPr>
                <w:rFonts w:cs="宋体" w:asciiTheme="minorHAnsi" w:hAnsiTheme="minorHAnsi"/>
                <w:color w:val="000000"/>
                <w:sz w:val="21"/>
                <w:szCs w:val="21"/>
              </w:rPr>
              <w:t>服务单位自行提供漏洞扫描工具，所提供的漏扫工具应具备系统扫描、WEB扫描、数据库扫描、基线配置核查、弱口令扫描等功能；支持自适应网络扫描，根据网络状况自动控制发包速率，避免影响系统使用；支持漏洞库涵盖标准包含CVE、CVSS、CNVID、CNNVD、CNCVE、Bugtraq编号6种；支持SSH、SMB、TELNET、POP、POP3、IMAP、FTP、RSH、REXEC、WSUS协议的登陆扫描；支持三种漏洞验证方式如浏览器验证、注入验证、通用验证。</w:t>
            </w:r>
            <w:r>
              <w:rPr>
                <w:rFonts w:cs="宋体" w:asciiTheme="minorHAnsi" w:hAnsiTheme="minorHAnsi"/>
                <w:sz w:val="21"/>
                <w:szCs w:val="21"/>
              </w:rPr>
              <w:t>漏扫服务过程中，需对对扫描结果进行验证，验证手段至少要采取工具与安服工程师人工组合的方式进行。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341" w:type="dxa"/>
            <w:vMerge w:val="continue"/>
            <w:vAlign w:val="center"/>
          </w:tcPr>
          <w:p>
            <w:pPr>
              <w:ind w:firstLine="422" w:firstLineChars="200"/>
              <w:rPr>
                <w:rFonts w:cs="宋体" w:asciiTheme="minorHAnsi" w:hAnsiTheme="minorHAnsi"/>
                <w:b/>
                <w:sz w:val="21"/>
                <w:szCs w:val="21"/>
              </w:rPr>
            </w:pPr>
          </w:p>
        </w:tc>
        <w:tc>
          <w:tcPr>
            <w:tcW w:w="7802" w:type="dxa"/>
            <w:vAlign w:val="center"/>
          </w:tcPr>
          <w:p>
            <w:pPr>
              <w:ind w:firstLine="420" w:firstLineChars="200"/>
              <w:rPr>
                <w:rFonts w:cs="宋体" w:asciiTheme="minorHAnsi" w:hAnsiTheme="minorHAnsi"/>
                <w:sz w:val="21"/>
                <w:szCs w:val="21"/>
              </w:rPr>
            </w:pPr>
            <w:r>
              <w:rPr>
                <w:rFonts w:cs="宋体" w:asciiTheme="minorHAnsi" w:hAnsiTheme="minorHAnsi"/>
                <w:sz w:val="21"/>
                <w:szCs w:val="21"/>
              </w:rPr>
              <w:t>定期对徐州口腔医院网络系统中网络安全策略进行梳理、分析和调优，以提高网络安全防护基线。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341" w:type="dxa"/>
            <w:vMerge w:val="continue"/>
            <w:vAlign w:val="center"/>
          </w:tcPr>
          <w:p>
            <w:pPr>
              <w:ind w:firstLine="422" w:firstLineChars="200"/>
              <w:rPr>
                <w:rFonts w:cs="宋体" w:asciiTheme="minorHAnsi" w:hAnsiTheme="minorHAnsi"/>
                <w:b/>
                <w:sz w:val="21"/>
                <w:szCs w:val="21"/>
              </w:rPr>
            </w:pPr>
          </w:p>
        </w:tc>
        <w:tc>
          <w:tcPr>
            <w:tcW w:w="7802" w:type="dxa"/>
            <w:vAlign w:val="center"/>
          </w:tcPr>
          <w:p>
            <w:pPr>
              <w:ind w:firstLine="420" w:firstLineChars="200"/>
              <w:rPr>
                <w:rFonts w:cs="宋体" w:asciiTheme="minorHAnsi" w:hAnsiTheme="minorHAnsi"/>
                <w:sz w:val="21"/>
                <w:szCs w:val="21"/>
                <w:highlight w:val="yellow"/>
              </w:rPr>
            </w:pPr>
            <w:r>
              <w:rPr>
                <w:rFonts w:cs="宋体" w:asciiTheme="minorHAnsi" w:hAnsiTheme="minorHAnsi"/>
                <w:sz w:val="21"/>
                <w:szCs w:val="21"/>
              </w:rPr>
              <w:t>服务频次：周期性服务，每服务年度内提供季度漏扫服务（每3个月实施一次）；</w:t>
            </w:r>
          </w:p>
          <w:p>
            <w:pPr>
              <w:ind w:firstLine="420" w:firstLineChars="200"/>
              <w:rPr>
                <w:rFonts w:cs="宋体" w:asciiTheme="minorHAnsi" w:hAnsiTheme="minorHAnsi"/>
                <w:sz w:val="21"/>
                <w:szCs w:val="21"/>
              </w:rPr>
            </w:pPr>
            <w:r>
              <w:rPr>
                <w:rFonts w:cs="宋体" w:asciiTheme="minorHAnsi" w:hAnsiTheme="minorHAnsi"/>
                <w:sz w:val="21"/>
                <w:szCs w:val="21"/>
              </w:rPr>
              <w:t>成果交付：《网络安全漏洞检测报告》（季度、年度）、《漏洞验证与复测报告》（如有）；季度服务报告在服务完成后5日内交付、年度服务报告在服务年度完成后15日内交付。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341" w:type="dxa"/>
            <w:vMerge w:val="restart"/>
            <w:vAlign w:val="center"/>
          </w:tcPr>
          <w:p>
            <w:pPr>
              <w:rPr>
                <w:rFonts w:cs="宋体" w:asciiTheme="minorHAnsi" w:hAnsiTheme="minorHAnsi"/>
                <w:b/>
                <w:sz w:val="21"/>
                <w:szCs w:val="21"/>
              </w:rPr>
            </w:pPr>
            <w:r>
              <w:rPr>
                <w:rFonts w:hint="eastAsia" w:cs="宋体" w:asciiTheme="minorHAnsi" w:hAnsiTheme="minorHAnsi"/>
                <w:b/>
                <w:sz w:val="21"/>
                <w:szCs w:val="21"/>
              </w:rPr>
              <w:t>3</w:t>
            </w:r>
            <w:r>
              <w:rPr>
                <w:rFonts w:cs="宋体" w:asciiTheme="minorHAnsi" w:hAnsiTheme="minorHAnsi"/>
                <w:b/>
                <w:sz w:val="21"/>
                <w:szCs w:val="21"/>
              </w:rPr>
              <w:t>、应急响应服务</w:t>
            </w:r>
          </w:p>
        </w:tc>
        <w:tc>
          <w:tcPr>
            <w:tcW w:w="7802" w:type="dxa"/>
            <w:vAlign w:val="center"/>
          </w:tcPr>
          <w:p>
            <w:pPr>
              <w:ind w:firstLine="420" w:firstLineChars="200"/>
              <w:rPr>
                <w:rFonts w:cs="宋体" w:asciiTheme="minorHAnsi" w:hAnsiTheme="minorHAnsi"/>
                <w:sz w:val="21"/>
                <w:szCs w:val="21"/>
              </w:rPr>
            </w:pPr>
            <w:r>
              <w:rPr>
                <w:rFonts w:cs="宋体" w:asciiTheme="minorHAnsi" w:hAnsiTheme="minorHAnsi"/>
                <w:sz w:val="21"/>
                <w:szCs w:val="21"/>
              </w:rPr>
              <w:t>建立完善的技术支持平台和应急人员队伍，与徐州口腔医院院形成良好的协同工作机制，当系统一旦遭到攻击、入侵等网络安全威胁时，能提供快速的应急响应服务，在最短的时间内采用各种准确得当的技术手段进行安全防护，确保院网络信息系统的损失最小化。通过技术手段排查攻击、入侵的方法和途径，分析事件原因，及时修补漏洞，防止同样事件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341" w:type="dxa"/>
            <w:vMerge w:val="continue"/>
            <w:vAlign w:val="center"/>
          </w:tcPr>
          <w:p>
            <w:pPr>
              <w:ind w:firstLine="422" w:firstLineChars="200"/>
              <w:rPr>
                <w:rFonts w:cs="宋体" w:asciiTheme="minorHAnsi" w:hAnsiTheme="minorHAnsi"/>
                <w:b/>
                <w:sz w:val="21"/>
                <w:szCs w:val="21"/>
              </w:rPr>
            </w:pPr>
          </w:p>
        </w:tc>
        <w:tc>
          <w:tcPr>
            <w:tcW w:w="7802" w:type="dxa"/>
            <w:vAlign w:val="center"/>
          </w:tcPr>
          <w:p>
            <w:pPr>
              <w:ind w:firstLine="420" w:firstLineChars="200"/>
              <w:rPr>
                <w:rFonts w:cs="宋体" w:asciiTheme="minorHAnsi" w:hAnsiTheme="minorHAnsi"/>
                <w:sz w:val="21"/>
                <w:szCs w:val="21"/>
              </w:rPr>
            </w:pPr>
            <w:r>
              <w:rPr>
                <w:rFonts w:cs="宋体" w:asciiTheme="minorHAnsi" w:hAnsiTheme="minorHAnsi"/>
                <w:sz w:val="21"/>
                <w:szCs w:val="21"/>
              </w:rPr>
              <w:t>★服务周期内应急响应服务时间为 7×24小时，响应方式为工作时间内即时现场响应，节假日及非工作时间1小时内响应，事件初步处置不超过2个小时完成。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41" w:type="dxa"/>
            <w:vMerge w:val="continue"/>
            <w:vAlign w:val="center"/>
          </w:tcPr>
          <w:p>
            <w:pPr>
              <w:ind w:firstLine="422" w:firstLineChars="200"/>
              <w:rPr>
                <w:rFonts w:cs="宋体" w:asciiTheme="minorHAnsi" w:hAnsiTheme="minorHAnsi"/>
                <w:b/>
                <w:sz w:val="21"/>
                <w:szCs w:val="21"/>
              </w:rPr>
            </w:pPr>
          </w:p>
        </w:tc>
        <w:tc>
          <w:tcPr>
            <w:tcW w:w="7802" w:type="dxa"/>
            <w:vAlign w:val="center"/>
          </w:tcPr>
          <w:p>
            <w:pPr>
              <w:ind w:firstLine="420" w:firstLineChars="200"/>
              <w:rPr>
                <w:rFonts w:cs="宋体" w:asciiTheme="minorHAnsi" w:hAnsiTheme="minorHAnsi"/>
                <w:sz w:val="21"/>
                <w:szCs w:val="21"/>
              </w:rPr>
            </w:pPr>
            <w:r>
              <w:rPr>
                <w:rFonts w:cs="宋体" w:asciiTheme="minorHAnsi" w:hAnsiTheme="minorHAnsi"/>
                <w:sz w:val="21"/>
                <w:szCs w:val="21"/>
              </w:rPr>
              <w:t>事件处置完毕后，形成处置报告，并协助我院完成上级单位网络安全信息通报要求中规定的重大事件处置表等材料的汇总上报。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341" w:type="dxa"/>
            <w:vMerge w:val="continue"/>
            <w:vAlign w:val="center"/>
          </w:tcPr>
          <w:p>
            <w:pPr>
              <w:ind w:firstLine="422" w:firstLineChars="200"/>
              <w:rPr>
                <w:rFonts w:cs="宋体" w:asciiTheme="minorHAnsi" w:hAnsiTheme="minorHAnsi"/>
                <w:b/>
                <w:sz w:val="21"/>
                <w:szCs w:val="21"/>
              </w:rPr>
            </w:pPr>
          </w:p>
        </w:tc>
        <w:tc>
          <w:tcPr>
            <w:tcW w:w="7802" w:type="dxa"/>
            <w:vAlign w:val="center"/>
          </w:tcPr>
          <w:p>
            <w:pPr>
              <w:ind w:firstLine="420" w:firstLineChars="200"/>
              <w:rPr>
                <w:rFonts w:cs="宋体" w:asciiTheme="minorHAnsi" w:hAnsiTheme="minorHAnsi"/>
                <w:sz w:val="21"/>
                <w:szCs w:val="21"/>
              </w:rPr>
            </w:pPr>
            <w:r>
              <w:rPr>
                <w:rFonts w:cs="宋体" w:asciiTheme="minorHAnsi" w:hAnsiTheme="minorHAnsi"/>
                <w:sz w:val="21"/>
                <w:szCs w:val="21"/>
              </w:rPr>
              <w:t>应急响应为连续性服务，服务年度内不限时间、次数；</w:t>
            </w:r>
          </w:p>
          <w:p>
            <w:pPr>
              <w:ind w:firstLine="420" w:firstLineChars="200"/>
              <w:rPr>
                <w:rFonts w:cs="宋体" w:asciiTheme="minorHAnsi" w:hAnsiTheme="minorHAnsi"/>
                <w:sz w:val="21"/>
                <w:szCs w:val="21"/>
              </w:rPr>
            </w:pPr>
            <w:r>
              <w:rPr>
                <w:rFonts w:cs="宋体" w:asciiTheme="minorHAnsi" w:hAnsiTheme="minorHAnsi"/>
                <w:sz w:val="21"/>
                <w:szCs w:val="21"/>
              </w:rPr>
              <w:t>成果交付：《网络安全时间应急处置报告》（如有）,服务报告须在事件完成处置后24小时内交付。</w:t>
            </w:r>
          </w:p>
        </w:tc>
      </w:tr>
    </w:tbl>
    <w:p>
      <w:pPr>
        <w:pStyle w:val="3"/>
        <w:ind w:left="1680" w:right="168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1MTViYTkxNzI2MDhmODJiOTk3ZGUwNGYwNDMxNWMifQ=="/>
  </w:docVars>
  <w:rsids>
    <w:rsidRoot w:val="334066B2"/>
    <w:rsid w:val="00197C5A"/>
    <w:rsid w:val="00D538C5"/>
    <w:rsid w:val="019B53E2"/>
    <w:rsid w:val="334066B2"/>
    <w:rsid w:val="33F869A0"/>
    <w:rsid w:val="4BA529FC"/>
    <w:rsid w:val="5EFA6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semiHidden/>
    <w:unhideWhenUsed/>
    <w:qFormat/>
    <w:uiPriority w:val="99"/>
    <w:pPr>
      <w:ind w:left="600" w:leftChars="600"/>
    </w:pPr>
  </w:style>
  <w:style w:type="paragraph" w:styleId="3">
    <w:name w:val="Block Text"/>
    <w:basedOn w:val="1"/>
    <w:qFormat/>
    <w:uiPriority w:val="0"/>
    <w:pPr>
      <w:spacing w:after="120"/>
      <w:ind w:left="1440" w:leftChars="700" w:right="700" w:rightChars="700"/>
    </w:pPr>
    <w:rPr>
      <w:kern w:val="0"/>
      <w:szCs w:val="22"/>
    </w:rPr>
  </w:style>
  <w:style w:type="character" w:styleId="6">
    <w:name w:val="annotation reference"/>
    <w:qFormat/>
    <w:uiPriority w:val="0"/>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1256</Words>
  <Characters>1317</Characters>
  <Lines>24</Lines>
  <Paragraphs>6</Paragraphs>
  <TotalTime>9</TotalTime>
  <ScaleCrop>false</ScaleCrop>
  <LinksUpToDate>false</LinksUpToDate>
  <CharactersWithSpaces>1318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2022-10-25T03:39:00Z</dcterms:created>
  <dc:creator>刘闯</dc:creator>
  <cp:lastModifiedBy>桐生一马</cp:lastModifiedBy>
  <cp:lastPrinted>2022-11-22T06:53:00Z</cp:lastPrinted>
  <dcterms:modified xsi:type="dcterms:W3CDTF">2022-11-24T02:30:08Z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E80B5E88528B426EB8B5BDB14D8DE74B</vt:lpwstr>
  </property>
</Properties>
</file>