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仿宋_GB2312"/>
          <w:b/>
          <w:color w:val="auto"/>
          <w:sz w:val="24"/>
          <w:lang w:val="en-US" w:eastAsia="zh-CN"/>
        </w:rPr>
      </w:pPr>
      <w:r>
        <w:rPr>
          <w:rFonts w:hint="eastAsia" w:ascii="宋体" w:hAnsi="宋体" w:cs="仿宋_GB2312"/>
          <w:bCs/>
          <w:color w:val="auto"/>
          <w:sz w:val="30"/>
          <w:szCs w:val="30"/>
          <w:lang w:val="en-US" w:eastAsia="zh-CN"/>
        </w:rPr>
        <w:t>口腔医院三级信息测评参数</w:t>
      </w:r>
    </w:p>
    <w:p>
      <w:pPr>
        <w:spacing w:line="360" w:lineRule="auto"/>
        <w:jc w:val="left"/>
        <w:rPr>
          <w:rFonts w:hint="eastAsia" w:ascii="宋体" w:hAnsi="宋体" w:cs="仿宋_GB2312"/>
          <w:b/>
          <w:color w:val="auto"/>
          <w:sz w:val="24"/>
        </w:rPr>
      </w:pPr>
      <w:r>
        <w:rPr>
          <w:rFonts w:hint="eastAsia" w:ascii="宋体" w:hAnsi="宋体" w:cs="仿宋_GB2312"/>
          <w:b/>
          <w:color w:val="auto"/>
          <w:sz w:val="24"/>
        </w:rPr>
        <w:t>一、本项目不接受超过</w:t>
      </w:r>
      <w:r>
        <w:rPr>
          <w:rFonts w:hint="eastAsia" w:ascii="宋体" w:hAnsi="宋体" w:cs="仿宋_GB2312"/>
          <w:b/>
          <w:color w:val="auto"/>
          <w:sz w:val="24"/>
          <w:lang w:val="en-US" w:eastAsia="zh-CN"/>
        </w:rPr>
        <w:t>4.99</w:t>
      </w:r>
      <w:r>
        <w:rPr>
          <w:rFonts w:hint="eastAsia" w:ascii="宋体" w:hAnsi="宋体" w:cs="仿宋_GB2312"/>
          <w:b/>
          <w:color w:val="auto"/>
          <w:sz w:val="24"/>
        </w:rPr>
        <w:t>万元（采购项目预算金额）的报价。</w:t>
      </w:r>
      <w:r>
        <w:rPr>
          <w:rFonts w:hint="eastAsia" w:ascii="宋体" w:hAnsi="宋体" w:cs="仿宋_GB2312"/>
          <w:bCs/>
          <w:color w:val="auto"/>
          <w:sz w:val="24"/>
        </w:rPr>
        <w:t xml:space="preserve">（报价包含产品价、税金、配送、安装等全部费用，采购人不再支付报价以外的任何费用。）  </w:t>
      </w:r>
      <w:r>
        <w:rPr>
          <w:rFonts w:hint="eastAsia" w:ascii="宋体" w:hAnsi="宋体" w:cs="仿宋_GB2312"/>
          <w:color w:val="auto"/>
          <w:sz w:val="24"/>
        </w:rPr>
        <w:t xml:space="preserve"> </w:t>
      </w:r>
    </w:p>
    <w:p>
      <w:pPr>
        <w:pStyle w:val="6"/>
        <w:spacing w:line="360" w:lineRule="auto"/>
        <w:rPr>
          <w:rFonts w:ascii="宋体" w:hAnsi="宋体" w:cs="仿宋_GB2312"/>
          <w:b/>
          <w:color w:val="auto"/>
          <w:sz w:val="24"/>
        </w:rPr>
      </w:pPr>
      <w:r>
        <w:rPr>
          <w:rFonts w:hint="eastAsia" w:ascii="宋体" w:hAnsi="宋体" w:cs="仿宋_GB2312"/>
          <w:b/>
          <w:color w:val="auto"/>
          <w:sz w:val="24"/>
        </w:rPr>
        <w:t>二、项目内容：</w:t>
      </w:r>
      <w:r>
        <w:rPr>
          <w:rFonts w:hint="eastAsia" w:ascii="宋体" w:hAnsi="宋体" w:cs="仿宋_GB2312"/>
          <w:bCs/>
          <w:color w:val="auto"/>
          <w:sz w:val="24"/>
          <w:lang w:eastAsia="zh-CN"/>
        </w:rPr>
        <w:t>口腔医院</w:t>
      </w:r>
      <w:r>
        <w:rPr>
          <w:rFonts w:hint="eastAsia" w:ascii="宋体" w:hAnsi="宋体" w:cs="仿宋_GB2312"/>
          <w:bCs/>
          <w:color w:val="auto"/>
          <w:sz w:val="24"/>
          <w:lang w:val="en-US" w:eastAsia="zh-CN"/>
        </w:rPr>
        <w:t>三级</w:t>
      </w:r>
      <w:bookmarkStart w:id="11" w:name="_GoBack"/>
      <w:bookmarkEnd w:id="11"/>
      <w:r>
        <w:rPr>
          <w:rFonts w:hint="eastAsia" w:ascii="宋体" w:hAnsi="宋体" w:cs="仿宋_GB2312"/>
          <w:bCs/>
          <w:color w:val="auto"/>
          <w:sz w:val="24"/>
          <w:lang w:eastAsia="zh-CN"/>
        </w:rPr>
        <w:t>信息评测</w:t>
      </w:r>
      <w:r>
        <w:rPr>
          <w:rFonts w:hint="eastAsia" w:ascii="宋体" w:hAnsi="宋体" w:cs="仿宋_GB2312"/>
          <w:bCs/>
          <w:color w:val="auto"/>
          <w:sz w:val="24"/>
        </w:rPr>
        <w:t>。</w:t>
      </w:r>
    </w:p>
    <w:p>
      <w:pPr>
        <w:pStyle w:val="6"/>
        <w:rPr>
          <w:rFonts w:hint="eastAsia" w:ascii="宋体" w:hAnsi="宋体" w:cs="仿宋_GB2312"/>
          <w:b/>
          <w:color w:val="auto"/>
          <w:kern w:val="0"/>
          <w:sz w:val="24"/>
        </w:rPr>
      </w:pPr>
      <w:r>
        <w:rPr>
          <w:rFonts w:hint="eastAsia" w:ascii="宋体" w:hAnsi="宋体" w:cs="仿宋_GB2312"/>
          <w:b/>
          <w:color w:val="auto"/>
          <w:sz w:val="24"/>
        </w:rPr>
        <w:t>三、</w:t>
      </w:r>
      <w:r>
        <w:rPr>
          <w:rFonts w:hint="eastAsia" w:ascii="宋体" w:hAnsi="宋体" w:cs="仿宋_GB2312"/>
          <w:b/>
          <w:color w:val="auto"/>
          <w:sz w:val="24"/>
          <w:lang w:eastAsia="zh-CN"/>
        </w:rPr>
        <w:t>服务要求</w:t>
      </w:r>
      <w:r>
        <w:rPr>
          <w:rFonts w:hint="eastAsia" w:ascii="宋体" w:hAnsi="宋体" w:cs="仿宋_GB2312"/>
          <w:b/>
          <w:color w:val="auto"/>
          <w:kern w:val="0"/>
          <w:sz w:val="24"/>
        </w:rPr>
        <w:t>：</w:t>
      </w:r>
    </w:p>
    <w:p>
      <w:pPr>
        <w:pStyle w:val="3"/>
        <w:numPr>
          <w:ilvl w:val="0"/>
          <w:numId w:val="1"/>
        </w:numPr>
        <w:jc w:val="left"/>
        <w:rPr>
          <w:rFonts w:ascii="仿宋" w:hAnsi="仿宋" w:eastAsia="仿宋" w:cs="楷体"/>
          <w:color w:val="auto"/>
          <w:sz w:val="28"/>
          <w:szCs w:val="28"/>
        </w:rPr>
      </w:pPr>
      <w:bookmarkStart w:id="0" w:name="_Toc59104518"/>
      <w:bookmarkStart w:id="1" w:name="_Toc57970244"/>
      <w:bookmarkStart w:id="2" w:name="_Toc11030"/>
      <w:bookmarkStart w:id="3" w:name="_Toc15530"/>
      <w:bookmarkStart w:id="4" w:name="_Toc43801299"/>
      <w:bookmarkStart w:id="5" w:name="_Toc42782127"/>
      <w:bookmarkStart w:id="6" w:name="_Toc9127"/>
      <w:bookmarkStart w:id="7" w:name="_Toc3655"/>
      <w:bookmarkStart w:id="8" w:name="_Toc13032"/>
      <w:bookmarkStart w:id="9" w:name="_Toc20083"/>
      <w:bookmarkStart w:id="10" w:name="_Toc11668"/>
      <w:r>
        <w:rPr>
          <w:rFonts w:hint="eastAsia" w:ascii="仿宋" w:hAnsi="仿宋" w:eastAsia="仿宋" w:cs="楷体"/>
          <w:color w:val="auto"/>
          <w:sz w:val="28"/>
          <w:szCs w:val="28"/>
          <w:lang w:val="en-US" w:eastAsia="zh-CN"/>
        </w:rPr>
        <w:t>测评</w:t>
      </w:r>
      <w:r>
        <w:rPr>
          <w:rFonts w:hint="eastAsia" w:ascii="仿宋" w:hAnsi="仿宋" w:eastAsia="仿宋" w:cs="楷体"/>
          <w:color w:val="auto"/>
          <w:sz w:val="28"/>
          <w:szCs w:val="28"/>
        </w:rPr>
        <w:t>依据</w:t>
      </w:r>
      <w:bookmarkEnd w:id="0"/>
      <w:bookmarkEnd w:id="1"/>
      <w:bookmarkEnd w:id="2"/>
      <w:bookmarkEnd w:id="3"/>
      <w:bookmarkEnd w:id="4"/>
      <w:bookmarkEnd w:id="5"/>
      <w:bookmarkEnd w:id="6"/>
      <w:bookmarkEnd w:id="7"/>
      <w:bookmarkEnd w:id="8"/>
      <w:bookmarkEnd w:id="9"/>
      <w:bookmarkEnd w:id="10"/>
    </w:p>
    <w:p>
      <w:pPr>
        <w:pStyle w:val="4"/>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spacing w:line="360" w:lineRule="auto"/>
        <w:rPr>
          <w:rFonts w:ascii="仿宋" w:hAnsi="仿宋" w:eastAsia="仿宋" w:cs="楷体"/>
          <w:color w:val="auto"/>
          <w:sz w:val="24"/>
        </w:rPr>
      </w:pPr>
      <w:r>
        <w:rPr>
          <w:rFonts w:hint="eastAsia" w:ascii="仿宋" w:hAnsi="仿宋" w:eastAsia="仿宋" w:cs="楷体"/>
          <w:color w:val="auto"/>
          <w:sz w:val="24"/>
        </w:rPr>
        <w:t>（1）政策依据</w:t>
      </w:r>
    </w:p>
    <w:p>
      <w:pPr>
        <w:pStyle w:val="4"/>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spacing w:line="360" w:lineRule="auto"/>
        <w:rPr>
          <w:rFonts w:ascii="仿宋" w:hAnsi="仿宋" w:eastAsia="仿宋" w:cs="楷体"/>
          <w:color w:val="auto"/>
          <w:sz w:val="24"/>
        </w:rPr>
      </w:pPr>
      <w:r>
        <w:rPr>
          <w:rFonts w:hint="eastAsia" w:ascii="仿宋" w:hAnsi="仿宋" w:eastAsia="仿宋" w:cs="楷体"/>
          <w:color w:val="auto"/>
          <w:sz w:val="24"/>
        </w:rPr>
        <w:t xml:space="preserve">《中华人民共和国计算机信息系统安全保护条例》(国务院147号令) </w:t>
      </w:r>
    </w:p>
    <w:p>
      <w:pPr>
        <w:pStyle w:val="4"/>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spacing w:line="360" w:lineRule="auto"/>
        <w:rPr>
          <w:rFonts w:ascii="仿宋" w:hAnsi="仿宋" w:eastAsia="仿宋" w:cs="楷体"/>
          <w:color w:val="auto"/>
          <w:sz w:val="24"/>
        </w:rPr>
      </w:pPr>
      <w:r>
        <w:rPr>
          <w:rFonts w:hint="eastAsia" w:ascii="仿宋" w:hAnsi="仿宋" w:eastAsia="仿宋" w:cs="楷体"/>
          <w:color w:val="auto"/>
          <w:sz w:val="24"/>
        </w:rPr>
        <w:t xml:space="preserve">《国家信息化领导小组关于加强信息安全保障工作的意见》(中办发[2003]27号) </w:t>
      </w:r>
    </w:p>
    <w:p>
      <w:pPr>
        <w:pStyle w:val="4"/>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spacing w:line="360" w:lineRule="auto"/>
        <w:rPr>
          <w:rFonts w:ascii="仿宋" w:hAnsi="仿宋" w:eastAsia="仿宋" w:cs="楷体"/>
          <w:color w:val="auto"/>
          <w:sz w:val="24"/>
        </w:rPr>
      </w:pPr>
      <w:r>
        <w:rPr>
          <w:rFonts w:hint="eastAsia" w:ascii="仿宋" w:hAnsi="仿宋" w:eastAsia="仿宋" w:cs="楷体"/>
          <w:color w:val="auto"/>
          <w:sz w:val="24"/>
        </w:rPr>
        <w:t xml:space="preserve">《关于信息安全等级保护工作的实施意见》(公通字[2004]66号) </w:t>
      </w:r>
    </w:p>
    <w:p>
      <w:pPr>
        <w:pStyle w:val="4"/>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spacing w:line="360" w:lineRule="auto"/>
        <w:rPr>
          <w:rFonts w:ascii="仿宋" w:hAnsi="仿宋" w:eastAsia="仿宋" w:cs="楷体"/>
          <w:color w:val="auto"/>
          <w:sz w:val="24"/>
        </w:rPr>
      </w:pPr>
      <w:r>
        <w:rPr>
          <w:rFonts w:hint="eastAsia" w:ascii="仿宋" w:hAnsi="仿宋" w:eastAsia="仿宋" w:cs="楷体"/>
          <w:color w:val="auto"/>
          <w:sz w:val="24"/>
        </w:rPr>
        <w:t xml:space="preserve">《信息安全等级保护管理办法》(公通字[2007]43号) </w:t>
      </w:r>
    </w:p>
    <w:p>
      <w:pPr>
        <w:pStyle w:val="4"/>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spacing w:line="360" w:lineRule="auto"/>
        <w:rPr>
          <w:rFonts w:ascii="仿宋" w:hAnsi="仿宋" w:eastAsia="仿宋" w:cs="楷体"/>
          <w:color w:val="auto"/>
          <w:sz w:val="24"/>
        </w:rPr>
      </w:pPr>
      <w:r>
        <w:rPr>
          <w:rFonts w:hint="eastAsia" w:ascii="仿宋" w:hAnsi="仿宋" w:eastAsia="仿宋" w:cs="楷体"/>
          <w:color w:val="auto"/>
          <w:sz w:val="24"/>
        </w:rPr>
        <w:t>关于开展信息安全等级保护安全建设整改工作的指导意见(公信安[2009]1429号)</w:t>
      </w:r>
    </w:p>
    <w:p>
      <w:pPr>
        <w:pStyle w:val="4"/>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spacing w:line="360" w:lineRule="auto"/>
        <w:rPr>
          <w:rFonts w:ascii="仿宋" w:hAnsi="仿宋" w:eastAsia="仿宋" w:cs="楷体"/>
          <w:color w:val="auto"/>
          <w:sz w:val="24"/>
        </w:rPr>
      </w:pPr>
      <w:r>
        <w:rPr>
          <w:rFonts w:hint="eastAsia" w:ascii="仿宋" w:hAnsi="仿宋" w:eastAsia="仿宋" w:cs="楷体"/>
          <w:color w:val="auto"/>
          <w:sz w:val="24"/>
        </w:rPr>
        <w:t>《信息安全技术 信息系统安全等级保护实施指南》(GB/T 25058-20</w:t>
      </w:r>
      <w:r>
        <w:rPr>
          <w:rFonts w:ascii="仿宋" w:hAnsi="仿宋" w:eastAsia="仿宋" w:cs="楷体"/>
          <w:color w:val="auto"/>
          <w:sz w:val="24"/>
        </w:rPr>
        <w:t>19</w:t>
      </w:r>
      <w:r>
        <w:rPr>
          <w:rFonts w:hint="eastAsia" w:ascii="仿宋" w:hAnsi="仿宋" w:eastAsia="仿宋" w:cs="楷体"/>
          <w:color w:val="auto"/>
          <w:sz w:val="24"/>
        </w:rPr>
        <w:t>)</w:t>
      </w:r>
    </w:p>
    <w:p>
      <w:pPr>
        <w:pStyle w:val="4"/>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spacing w:line="360" w:lineRule="auto"/>
        <w:rPr>
          <w:rFonts w:ascii="仿宋" w:hAnsi="仿宋" w:eastAsia="仿宋" w:cs="楷体"/>
          <w:color w:val="auto"/>
          <w:sz w:val="24"/>
        </w:rPr>
      </w:pPr>
      <w:r>
        <w:rPr>
          <w:rFonts w:hint="eastAsia" w:ascii="仿宋" w:hAnsi="仿宋" w:eastAsia="仿宋" w:cs="楷体"/>
          <w:color w:val="auto"/>
          <w:sz w:val="24"/>
        </w:rPr>
        <w:t>《计算机信息系统安全保护等级划分准则》(GB 17859-1999 )</w:t>
      </w:r>
    </w:p>
    <w:p>
      <w:pPr>
        <w:pStyle w:val="4"/>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spacing w:line="360" w:lineRule="auto"/>
        <w:rPr>
          <w:rFonts w:ascii="仿宋" w:hAnsi="仿宋" w:eastAsia="仿宋" w:cs="楷体"/>
          <w:color w:val="auto"/>
          <w:sz w:val="24"/>
        </w:rPr>
      </w:pPr>
      <w:r>
        <w:rPr>
          <w:rFonts w:hint="eastAsia" w:ascii="仿宋" w:hAnsi="仿宋" w:eastAsia="仿宋" w:cs="楷体"/>
          <w:color w:val="auto"/>
          <w:sz w:val="24"/>
        </w:rPr>
        <w:t>《信息安全技术 网络安全等级保护定级指南》(GB</w:t>
      </w:r>
      <w:r>
        <w:rPr>
          <w:rFonts w:ascii="仿宋" w:hAnsi="仿宋" w:eastAsia="仿宋" w:cs="楷体"/>
          <w:color w:val="auto"/>
          <w:sz w:val="24"/>
        </w:rPr>
        <w:t>/</w:t>
      </w:r>
      <w:r>
        <w:rPr>
          <w:rFonts w:hint="eastAsia" w:ascii="仿宋" w:hAnsi="仿宋" w:eastAsia="仿宋" w:cs="楷体"/>
          <w:color w:val="auto"/>
          <w:sz w:val="24"/>
        </w:rPr>
        <w:t>T 22240—2020)</w:t>
      </w:r>
    </w:p>
    <w:p>
      <w:pPr>
        <w:pStyle w:val="4"/>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spacing w:line="360" w:lineRule="auto"/>
        <w:rPr>
          <w:rFonts w:ascii="仿宋" w:hAnsi="仿宋" w:eastAsia="仿宋" w:cs="楷体"/>
          <w:color w:val="auto"/>
          <w:sz w:val="24"/>
        </w:rPr>
      </w:pPr>
      <w:r>
        <w:rPr>
          <w:rFonts w:hint="eastAsia" w:ascii="仿宋" w:hAnsi="仿宋" w:eastAsia="仿宋" w:cs="楷体"/>
          <w:color w:val="auto"/>
          <w:sz w:val="24"/>
        </w:rPr>
        <w:t>《关于推动信息安全等级保护测评体系建设和开展等级测评工作的通知》（公信安[2010]303号）</w:t>
      </w:r>
    </w:p>
    <w:p>
      <w:pPr>
        <w:pStyle w:val="4"/>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spacing w:line="360" w:lineRule="auto"/>
        <w:rPr>
          <w:rFonts w:ascii="仿宋" w:hAnsi="仿宋" w:eastAsia="仿宋" w:cs="楷体"/>
          <w:color w:val="auto"/>
          <w:sz w:val="24"/>
        </w:rPr>
      </w:pPr>
      <w:r>
        <w:rPr>
          <w:rFonts w:hint="eastAsia" w:ascii="仿宋" w:hAnsi="仿宋" w:eastAsia="仿宋" w:cs="楷体"/>
          <w:color w:val="auto"/>
          <w:sz w:val="24"/>
        </w:rPr>
        <w:t>《中华人民共和国网络安全法》</w:t>
      </w:r>
    </w:p>
    <w:p>
      <w:pPr>
        <w:pStyle w:val="4"/>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spacing w:line="360" w:lineRule="auto"/>
        <w:rPr>
          <w:rFonts w:ascii="仿宋" w:hAnsi="仿宋" w:eastAsia="仿宋" w:cs="楷体"/>
          <w:color w:val="auto"/>
          <w:sz w:val="24"/>
        </w:rPr>
      </w:pPr>
      <w:r>
        <w:rPr>
          <w:rFonts w:hint="eastAsia" w:ascii="仿宋" w:hAnsi="仿宋" w:eastAsia="仿宋" w:cs="楷体"/>
          <w:color w:val="auto"/>
          <w:sz w:val="24"/>
        </w:rPr>
        <w:t>（2）技术标准</w:t>
      </w:r>
    </w:p>
    <w:p>
      <w:pPr>
        <w:pStyle w:val="4"/>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spacing w:line="360" w:lineRule="auto"/>
        <w:rPr>
          <w:rFonts w:ascii="仿宋" w:hAnsi="仿宋" w:eastAsia="仿宋" w:cs="楷体"/>
          <w:color w:val="auto"/>
          <w:sz w:val="24"/>
        </w:rPr>
      </w:pPr>
      <w:r>
        <w:rPr>
          <w:rFonts w:hint="eastAsia" w:ascii="仿宋" w:hAnsi="仿宋" w:eastAsia="仿宋" w:cs="楷体"/>
          <w:color w:val="auto"/>
          <w:sz w:val="24"/>
        </w:rPr>
        <w:t>GB/T 22239-2019《信息安全技术 网络安全等级保护基本要求》</w:t>
      </w:r>
    </w:p>
    <w:p>
      <w:pPr>
        <w:pStyle w:val="4"/>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spacing w:line="360" w:lineRule="auto"/>
        <w:rPr>
          <w:rFonts w:ascii="仿宋" w:hAnsi="仿宋" w:eastAsia="仿宋" w:cs="楷体"/>
          <w:color w:val="auto"/>
          <w:sz w:val="24"/>
        </w:rPr>
      </w:pPr>
      <w:r>
        <w:rPr>
          <w:rFonts w:hint="eastAsia" w:ascii="仿宋" w:hAnsi="仿宋" w:eastAsia="仿宋" w:cs="楷体"/>
          <w:color w:val="auto"/>
          <w:sz w:val="24"/>
        </w:rPr>
        <w:t>GB/T 28448-2019《信息安全技术 网络安全等级保护测评要求》</w:t>
      </w:r>
    </w:p>
    <w:p>
      <w:pPr>
        <w:pStyle w:val="4"/>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spacing w:line="360" w:lineRule="auto"/>
        <w:rPr>
          <w:rFonts w:ascii="仿宋" w:hAnsi="仿宋" w:eastAsia="仿宋" w:cs="楷体"/>
          <w:color w:val="auto"/>
          <w:sz w:val="24"/>
        </w:rPr>
      </w:pPr>
      <w:r>
        <w:rPr>
          <w:rFonts w:hint="eastAsia" w:ascii="仿宋" w:hAnsi="仿宋" w:eastAsia="仿宋" w:cs="楷体"/>
          <w:color w:val="auto"/>
          <w:sz w:val="24"/>
        </w:rPr>
        <w:t>GB/T 22240-2020《信息安全技术 网络安全等级保护定级指南》</w:t>
      </w:r>
    </w:p>
    <w:p>
      <w:pPr>
        <w:pStyle w:val="4"/>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spacing w:line="360" w:lineRule="auto"/>
        <w:rPr>
          <w:rFonts w:ascii="仿宋" w:hAnsi="仿宋" w:eastAsia="仿宋" w:cs="楷体"/>
          <w:color w:val="auto"/>
          <w:sz w:val="24"/>
        </w:rPr>
      </w:pPr>
      <w:r>
        <w:rPr>
          <w:rFonts w:hint="eastAsia" w:ascii="仿宋" w:hAnsi="仿宋" w:eastAsia="仿宋" w:cs="楷体"/>
          <w:color w:val="auto"/>
          <w:sz w:val="24"/>
        </w:rPr>
        <w:t>GB/T 28449-2018《信息安全技术 网络安全等级保护测评过程指南》</w:t>
      </w:r>
    </w:p>
    <w:p>
      <w:pPr>
        <w:pStyle w:val="4"/>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spacing w:line="360" w:lineRule="auto"/>
        <w:rPr>
          <w:rFonts w:ascii="仿宋" w:hAnsi="仿宋" w:eastAsia="仿宋" w:cs="楷体"/>
          <w:color w:val="auto"/>
          <w:sz w:val="24"/>
        </w:rPr>
      </w:pPr>
      <w:r>
        <w:rPr>
          <w:rFonts w:hint="eastAsia" w:ascii="仿宋" w:hAnsi="仿宋" w:eastAsia="仿宋" w:cs="楷体"/>
          <w:color w:val="auto"/>
          <w:sz w:val="24"/>
        </w:rPr>
        <w:t>GB/T 25058-20</w:t>
      </w:r>
      <w:r>
        <w:rPr>
          <w:rFonts w:ascii="仿宋" w:hAnsi="仿宋" w:eastAsia="仿宋" w:cs="楷体"/>
          <w:color w:val="auto"/>
          <w:sz w:val="24"/>
        </w:rPr>
        <w:t>19</w:t>
      </w:r>
      <w:r>
        <w:rPr>
          <w:rFonts w:hint="eastAsia" w:ascii="仿宋" w:hAnsi="仿宋" w:eastAsia="仿宋" w:cs="楷体"/>
          <w:color w:val="auto"/>
          <w:sz w:val="24"/>
        </w:rPr>
        <w:t>《信息安全技术 信息系统安全等级保护实施指南》</w:t>
      </w:r>
    </w:p>
    <w:p>
      <w:pPr>
        <w:rPr>
          <w:color w:val="auto"/>
        </w:rPr>
      </w:pPr>
      <w:r>
        <w:rPr>
          <w:color w:val="auto"/>
        </w:rPr>
        <w:br w:type="page"/>
      </w:r>
    </w:p>
    <w:p>
      <w:pPr>
        <w:pStyle w:val="3"/>
        <w:numPr>
          <w:ilvl w:val="0"/>
          <w:numId w:val="1"/>
        </w:numPr>
        <w:jc w:val="left"/>
        <w:rPr>
          <w:rFonts w:hint="default" w:ascii="仿宋" w:hAnsi="仿宋" w:eastAsia="仿宋" w:cs="楷体"/>
          <w:color w:val="auto"/>
          <w:sz w:val="28"/>
          <w:szCs w:val="28"/>
          <w:lang w:val="en-US" w:eastAsia="zh-CN"/>
        </w:rPr>
      </w:pPr>
      <w:r>
        <w:rPr>
          <w:rFonts w:hint="eastAsia" w:ascii="仿宋" w:hAnsi="仿宋" w:eastAsia="仿宋" w:cs="楷体"/>
          <w:color w:val="auto"/>
          <w:sz w:val="28"/>
          <w:szCs w:val="28"/>
          <w:lang w:val="en-US" w:eastAsia="zh-CN"/>
        </w:rPr>
        <w:t>测评方法</w:t>
      </w:r>
    </w:p>
    <w:p>
      <w:pPr>
        <w:pStyle w:val="9"/>
        <w:spacing w:line="360" w:lineRule="auto"/>
        <w:rPr>
          <w:rFonts w:ascii="仿宋" w:hAnsi="仿宋" w:eastAsia="仿宋" w:cs="楷体"/>
          <w:color w:val="auto"/>
          <w:szCs w:val="30"/>
        </w:rPr>
      </w:pPr>
      <w:r>
        <w:rPr>
          <w:rFonts w:hint="eastAsia" w:ascii="仿宋" w:hAnsi="仿宋" w:eastAsia="仿宋" w:cs="楷体"/>
          <w:color w:val="auto"/>
          <w:szCs w:val="30"/>
        </w:rPr>
        <w:t>安全测评的主要方法有：访谈、核查和测试及综合评估。</w:t>
      </w:r>
    </w:p>
    <w:p>
      <w:pPr>
        <w:pStyle w:val="9"/>
        <w:numPr>
          <w:ilvl w:val="0"/>
          <w:numId w:val="2"/>
        </w:numPr>
        <w:spacing w:line="360" w:lineRule="auto"/>
        <w:ind w:firstLineChars="0"/>
        <w:rPr>
          <w:rFonts w:ascii="仿宋" w:hAnsi="仿宋" w:eastAsia="仿宋" w:cs="楷体"/>
          <w:color w:val="auto"/>
          <w:szCs w:val="30"/>
        </w:rPr>
      </w:pPr>
      <w:r>
        <w:rPr>
          <w:rFonts w:hint="eastAsia" w:ascii="仿宋" w:hAnsi="仿宋" w:eastAsia="仿宋" w:cs="楷体"/>
          <w:color w:val="auto"/>
          <w:szCs w:val="30"/>
        </w:rPr>
        <w:t>访谈</w:t>
      </w:r>
    </w:p>
    <w:p>
      <w:pPr>
        <w:pStyle w:val="9"/>
        <w:spacing w:line="360" w:lineRule="auto"/>
        <w:rPr>
          <w:rFonts w:ascii="仿宋" w:hAnsi="仿宋" w:eastAsia="仿宋" w:cs="楷体"/>
          <w:i/>
          <w:color w:val="auto"/>
          <w:szCs w:val="30"/>
        </w:rPr>
      </w:pPr>
      <w:r>
        <w:rPr>
          <w:rFonts w:hint="eastAsia" w:ascii="仿宋" w:hAnsi="仿宋" w:eastAsia="仿宋" w:cs="楷体"/>
          <w:color w:val="auto"/>
          <w:szCs w:val="30"/>
        </w:rPr>
        <w:t>本次测评采取访谈方式涉及对象为安全物理环境、安全通信网络、安全区域边界、安全计算环境、安全管理中心等方面内容。其中安全物理环境、安全管理中心重点采取访谈方式。在访谈的广度上，访谈覆盖不同类型的系统运维管理人员，包括系统负责人、机房管理员、系统管理员、网络管理员、开发人员、应用业务人员、文档管理员等。对测评对象采取抽样的形式确定测评数量；在访谈的深度上，访谈包含通用和高级的问题以及一些有难度和探索性的问题。测评人员访谈技术负责人、系统管理员、业务开发人员等系统技术架构的实现及配置；访谈系统负责人系统的整体运行状况、安全管理中心的执行成效。</w:t>
      </w:r>
    </w:p>
    <w:p>
      <w:pPr>
        <w:pStyle w:val="9"/>
        <w:numPr>
          <w:ilvl w:val="0"/>
          <w:numId w:val="2"/>
        </w:numPr>
        <w:spacing w:line="360" w:lineRule="auto"/>
        <w:ind w:firstLineChars="0"/>
        <w:rPr>
          <w:rFonts w:ascii="仿宋" w:hAnsi="仿宋" w:eastAsia="仿宋" w:cs="楷体"/>
          <w:color w:val="auto"/>
          <w:szCs w:val="30"/>
        </w:rPr>
      </w:pPr>
      <w:r>
        <w:rPr>
          <w:rFonts w:hint="eastAsia" w:ascii="仿宋" w:hAnsi="仿宋" w:eastAsia="仿宋" w:cs="楷体"/>
          <w:color w:val="auto"/>
          <w:szCs w:val="30"/>
        </w:rPr>
        <w:t>核查，包括文档核查及配置核查</w:t>
      </w:r>
    </w:p>
    <w:p>
      <w:pPr>
        <w:pStyle w:val="9"/>
        <w:spacing w:line="360" w:lineRule="auto"/>
        <w:rPr>
          <w:rFonts w:ascii="仿宋" w:hAnsi="仿宋" w:eastAsia="仿宋" w:cs="楷体"/>
          <w:color w:val="auto"/>
          <w:szCs w:val="30"/>
        </w:rPr>
      </w:pPr>
      <w:r>
        <w:rPr>
          <w:rFonts w:hint="eastAsia" w:ascii="仿宋" w:hAnsi="仿宋" w:eastAsia="仿宋" w:cs="楷体"/>
          <w:color w:val="auto"/>
          <w:szCs w:val="30"/>
        </w:rPr>
        <w:t>本次测评采取核查方式主要涉及对象为安全物理环境、安全通信网络、安全区域边界、安全计算环境、安全管理中心等方面的内容。除安全物理环境、安全管理中心主要采取文档核查方式外，其它方面主要采取系统配置核查方式。在核查的广度上，数量上采取抽样的形式，基本覆盖系统包含的网络设备、安全设备、主机设备、应用软件、管理制度文档等不同类型对象；在核查的深度上，详细分析、观察和研究除了功能级上的文档、机制和活动外，还包括总体/概要和一些详细设计以及实现上的相关信息。</w:t>
      </w:r>
    </w:p>
    <w:p>
      <w:pPr>
        <w:pStyle w:val="9"/>
        <w:numPr>
          <w:ilvl w:val="0"/>
          <w:numId w:val="2"/>
        </w:numPr>
        <w:spacing w:line="360" w:lineRule="auto"/>
        <w:ind w:firstLineChars="0"/>
        <w:rPr>
          <w:rFonts w:ascii="仿宋" w:hAnsi="仿宋" w:eastAsia="仿宋" w:cs="楷体"/>
          <w:color w:val="auto"/>
          <w:szCs w:val="30"/>
        </w:rPr>
      </w:pPr>
      <w:r>
        <w:rPr>
          <w:rFonts w:hint="eastAsia" w:ascii="仿宋" w:hAnsi="仿宋" w:eastAsia="仿宋" w:cs="楷体"/>
          <w:color w:val="auto"/>
          <w:szCs w:val="30"/>
        </w:rPr>
        <w:t>测试，包括案例验证测试、漏洞扫描测试、渗透性测试。</w:t>
      </w:r>
    </w:p>
    <w:p>
      <w:pPr>
        <w:pStyle w:val="9"/>
        <w:spacing w:line="360" w:lineRule="auto"/>
        <w:rPr>
          <w:rFonts w:ascii="仿宋" w:hAnsi="仿宋" w:eastAsia="仿宋" w:cs="楷体"/>
          <w:color w:val="auto"/>
          <w:szCs w:val="30"/>
        </w:rPr>
      </w:pPr>
      <w:r>
        <w:rPr>
          <w:rFonts w:hint="eastAsia" w:ascii="仿宋" w:hAnsi="仿宋" w:eastAsia="仿宋" w:cs="楷体"/>
          <w:color w:val="auto"/>
          <w:szCs w:val="30"/>
        </w:rPr>
        <w:t>本次测评采取测试方式主要涉及对象为安全通信网络、安全区域边界、安全计算环境等方面的内容。其中，验证测试主要通过测试工具或案例验证安全通信网络、安全区域边界、安全计算环境，</w:t>
      </w:r>
      <w:r>
        <w:rPr>
          <w:rFonts w:hint="eastAsia" w:ascii="仿宋" w:hAnsi="仿宋" w:eastAsia="仿宋" w:cs="楷体"/>
          <w:color w:val="auto"/>
        </w:rPr>
        <w:t>安全管理中心</w:t>
      </w:r>
      <w:r>
        <w:rPr>
          <w:rFonts w:hint="eastAsia" w:ascii="仿宋" w:hAnsi="仿宋" w:eastAsia="仿宋" w:cs="楷体"/>
          <w:color w:val="auto"/>
          <w:szCs w:val="30"/>
        </w:rPr>
        <w:t>的安全功能是否有效。漏洞扫描测试主要分析网络设备、操作系统、数据库等安全漏洞。在核查的广度上，基本覆盖不同类型的机制，在数量、范围上采取抽样方式；在测试的深度上，功能测试涉及机制的功能规范、高级设计和操作规程等文档及深度验证系统的安全机制是否实现，包括冗余机制、备份恢复机制的实现。基于本系统存在来自上级安全域和下级安全域可能的攻击威胁，故本次测评采取渗透测试方式，试图模拟非授权进入信息系统。</w:t>
      </w:r>
    </w:p>
    <w:p>
      <w:pPr>
        <w:pStyle w:val="9"/>
        <w:numPr>
          <w:ilvl w:val="0"/>
          <w:numId w:val="2"/>
        </w:numPr>
        <w:spacing w:line="360" w:lineRule="auto"/>
        <w:ind w:firstLineChars="0"/>
        <w:rPr>
          <w:rFonts w:ascii="仿宋" w:hAnsi="仿宋" w:eastAsia="仿宋" w:cs="楷体"/>
          <w:color w:val="auto"/>
          <w:szCs w:val="30"/>
        </w:rPr>
      </w:pPr>
      <w:r>
        <w:rPr>
          <w:rFonts w:hint="eastAsia" w:ascii="仿宋" w:hAnsi="仿宋" w:eastAsia="仿宋" w:cs="楷体"/>
          <w:color w:val="auto"/>
          <w:szCs w:val="30"/>
        </w:rPr>
        <w:t>风险分析方法</w:t>
      </w:r>
    </w:p>
    <w:p>
      <w:pPr>
        <w:pStyle w:val="9"/>
        <w:spacing w:line="360" w:lineRule="auto"/>
        <w:rPr>
          <w:rFonts w:ascii="仿宋" w:hAnsi="仿宋" w:eastAsia="仿宋" w:cs="楷体"/>
          <w:color w:val="auto"/>
          <w:szCs w:val="30"/>
        </w:rPr>
      </w:pPr>
      <w:r>
        <w:rPr>
          <w:rFonts w:hint="eastAsia" w:ascii="仿宋" w:hAnsi="仿宋" w:eastAsia="仿宋" w:cs="楷体"/>
          <w:color w:val="auto"/>
          <w:szCs w:val="30"/>
        </w:rPr>
        <w:t>本项目依据安全事件可能性和安全事件后果对信息系统面临的风险进行分析，分析过程包括：</w:t>
      </w:r>
    </w:p>
    <w:p>
      <w:pPr>
        <w:pStyle w:val="9"/>
        <w:spacing w:line="360" w:lineRule="auto"/>
        <w:rPr>
          <w:rFonts w:ascii="仿宋" w:hAnsi="仿宋" w:eastAsia="仿宋" w:cs="楷体"/>
          <w:color w:val="auto"/>
          <w:szCs w:val="30"/>
        </w:rPr>
      </w:pPr>
      <w:r>
        <w:rPr>
          <w:rFonts w:hint="eastAsia" w:ascii="仿宋" w:hAnsi="仿宋" w:eastAsia="仿宋" w:cs="楷体"/>
          <w:color w:val="auto"/>
          <w:szCs w:val="30"/>
        </w:rPr>
        <w:t>1）判断信息系统安全保护能力缺失（等级测评结果中的部分符合项和不符合项）被威胁利用导致安全事件发生的可能性；</w:t>
      </w:r>
    </w:p>
    <w:p>
      <w:pPr>
        <w:pStyle w:val="9"/>
        <w:spacing w:line="360" w:lineRule="auto"/>
        <w:rPr>
          <w:rFonts w:ascii="仿宋" w:hAnsi="仿宋" w:eastAsia="仿宋" w:cs="楷体"/>
          <w:color w:val="auto"/>
          <w:szCs w:val="30"/>
        </w:rPr>
      </w:pPr>
      <w:r>
        <w:rPr>
          <w:rFonts w:hint="eastAsia" w:ascii="仿宋" w:hAnsi="仿宋" w:eastAsia="仿宋" w:cs="楷体"/>
          <w:color w:val="auto"/>
          <w:szCs w:val="30"/>
        </w:rPr>
        <w:t>2）判断安全事件对信息系统业务信息安全和系统服务安全造成的影响程度；</w:t>
      </w:r>
    </w:p>
    <w:p>
      <w:pPr>
        <w:pStyle w:val="9"/>
        <w:spacing w:line="360" w:lineRule="auto"/>
        <w:rPr>
          <w:rFonts w:ascii="仿宋" w:hAnsi="仿宋" w:eastAsia="仿宋" w:cs="楷体"/>
          <w:color w:val="auto"/>
          <w:szCs w:val="30"/>
        </w:rPr>
      </w:pPr>
      <w:r>
        <w:rPr>
          <w:rFonts w:hint="eastAsia" w:ascii="仿宋" w:hAnsi="仿宋" w:eastAsia="仿宋" w:cs="楷体"/>
          <w:color w:val="auto"/>
          <w:szCs w:val="30"/>
        </w:rPr>
        <w:t>3）综合1）和2）的结果对信息系统面临的风险进行汇总和分等级；</w:t>
      </w:r>
    </w:p>
    <w:p>
      <w:pPr>
        <w:pStyle w:val="9"/>
        <w:spacing w:line="360" w:lineRule="auto"/>
        <w:rPr>
          <w:rFonts w:ascii="仿宋" w:hAnsi="仿宋" w:eastAsia="仿宋" w:cs="楷体"/>
          <w:color w:val="auto"/>
          <w:szCs w:val="30"/>
        </w:rPr>
      </w:pPr>
      <w:r>
        <w:rPr>
          <w:rFonts w:hint="eastAsia" w:ascii="仿宋" w:hAnsi="仿宋" w:eastAsia="仿宋" w:cs="楷体"/>
          <w:color w:val="auto"/>
          <w:szCs w:val="30"/>
        </w:rPr>
        <w:t>4）结合信息系统的安全保护等级对风险分析结果进行评价，即对国家安全、社会秩序、公共利益以及公民、法人和其他组织的合法权益造成的风险。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E7DB6"/>
    <w:multiLevelType w:val="multilevel"/>
    <w:tmpl w:val="0B3E7DB6"/>
    <w:lvl w:ilvl="0" w:tentative="0">
      <w:start w:val="1"/>
      <w:numFmt w:val="bullet"/>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1">
    <w:nsid w:val="43077C05"/>
    <w:multiLevelType w:val="singleLevel"/>
    <w:tmpl w:val="43077C05"/>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jYzdhOWQwODA4ZDc1ZjkxMmNlY2JiNGQ0YmRjYTMifQ=="/>
  </w:docVars>
  <w:rsids>
    <w:rsidRoot w:val="080C5170"/>
    <w:rsid w:val="080C5170"/>
    <w:rsid w:val="51931803"/>
    <w:rsid w:val="77AA1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4"/>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Calibri Light" w:hAnsi="Calibri Light"/>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basedOn w:val="1"/>
    <w:uiPriority w:val="99"/>
    <w:pPr>
      <w:ind w:firstLine="420" w:firstLineChars="200"/>
    </w:pPr>
  </w:style>
  <w:style w:type="paragraph" w:styleId="5">
    <w:name w:val="index 5"/>
    <w:basedOn w:val="1"/>
    <w:next w:val="1"/>
    <w:qFormat/>
    <w:uiPriority w:val="0"/>
    <w:pPr>
      <w:ind w:left="798" w:leftChars="380"/>
      <w:jc w:val="left"/>
    </w:pPr>
    <w:rPr>
      <w:rFonts w:ascii="Calibri" w:hAnsi="Calibri"/>
      <w:sz w:val="21"/>
    </w:rPr>
  </w:style>
  <w:style w:type="paragraph" w:styleId="6">
    <w:name w:val="footnote text"/>
    <w:basedOn w:val="1"/>
    <w:next w:val="5"/>
    <w:qFormat/>
    <w:uiPriority w:val="0"/>
    <w:pPr>
      <w:snapToGrid w:val="0"/>
      <w:jc w:val="left"/>
    </w:pPr>
    <w:rPr>
      <w:rFonts w:ascii="Calibri" w:hAnsi="Calibri"/>
      <w:sz w:val="18"/>
    </w:rPr>
  </w:style>
  <w:style w:type="paragraph" w:customStyle="1" w:styleId="9">
    <w:name w:val="正文2.25"/>
    <w:basedOn w:val="1"/>
    <w:qFormat/>
    <w:uiPriority w:val="0"/>
    <w:pPr>
      <w:ind w:firstLine="540" w:firstLineChars="225"/>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1583</Words>
  <Characters>1723</Characters>
  <Lines>0</Lines>
  <Paragraphs>0</Paragraphs>
  <TotalTime>1</TotalTime>
  <ScaleCrop>false</ScaleCrop>
  <LinksUpToDate>false</LinksUpToDate>
  <CharactersWithSpaces>1746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2021-06-04T09:21:00Z</dcterms:created>
  <dc:creator>Administrator</dc:creator>
  <cp:lastModifiedBy>Administrator</cp:lastModifiedBy>
  <cp:lastPrinted>2023-07-18T08:22:00Z</cp:lastPrinted>
  <dcterms:modified xsi:type="dcterms:W3CDTF">2023-07-20T08:57:53Z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22CB61DFCD294E91B3C9CC30F5AF8573_13</vt:lpwstr>
  </property>
</Properties>
</file>